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全国二级建造师执业资格考试</w:t>
      </w:r>
    </w:p>
    <w:p>
      <w:pPr>
        <w:jc w:val="center"/>
        <w:rPr>
          <w:rFonts w:ascii="宋体" w:hAnsi="宋体"/>
          <w:b/>
          <w:color w:val="000000" w:themeColor="text1"/>
          <w:sz w:val="28"/>
          <w:szCs w:val="28"/>
        </w:rPr>
      </w:pPr>
      <w:r>
        <w:rPr>
          <w:rFonts w:hint="eastAsia" w:ascii="宋体" w:hAnsi="宋体"/>
          <w:b/>
          <w:color w:val="000000" w:themeColor="text1"/>
          <w:sz w:val="28"/>
          <w:szCs w:val="28"/>
        </w:rPr>
        <w:t>《市政公用工程管理与实务》2015年真题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/>
          <w:szCs w:val="21"/>
          <w:shd w:val="clear" w:color="auto" w:fill="FFFFFF"/>
        </w:rPr>
        <w:drawing>
          <wp:inline distT="0" distB="0" distL="0" distR="0">
            <wp:extent cx="5274310" cy="4638675"/>
            <wp:effectExtent l="19050" t="0" r="2540" b="0"/>
            <wp:docPr id="7" name="图片 7" descr="C:\Documents and Settings\cdel\桌面\市政\1-2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Documents and Settings\cdel\桌面\市政\1-2 拷贝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39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 w:themeColor="text1"/>
          <w:szCs w:val="21"/>
        </w:rPr>
        <w:t>3.</w:t>
      </w:r>
      <w:r>
        <w:rPr>
          <w:rFonts w:hint="eastAsia" w:ascii="宋体" w:hAnsi="宋体"/>
          <w:color w:val="000000" w:themeColor="text1"/>
          <w:szCs w:val="21"/>
        </w:rPr>
        <w:t>承重结构以受压为主的桥梁是（　）。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A.</w:t>
      </w:r>
      <w:r>
        <w:rPr>
          <w:rFonts w:hint="eastAsia" w:ascii="宋体" w:hAnsi="宋体"/>
          <w:color w:val="000000" w:themeColor="text1"/>
          <w:szCs w:val="21"/>
        </w:rPr>
        <w:t>梁式桥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B.</w:t>
      </w:r>
      <w:r>
        <w:rPr>
          <w:rFonts w:hint="eastAsia" w:ascii="宋体" w:hAnsi="宋体"/>
          <w:color w:val="000000" w:themeColor="text1"/>
          <w:szCs w:val="21"/>
        </w:rPr>
        <w:t>拱式桥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C.</w:t>
      </w:r>
      <w:r>
        <w:rPr>
          <w:rFonts w:hint="eastAsia" w:ascii="宋体" w:hAnsi="宋体"/>
          <w:color w:val="000000" w:themeColor="text1"/>
          <w:szCs w:val="21"/>
        </w:rPr>
        <w:t>悬索桥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D.</w:t>
      </w:r>
      <w:r>
        <w:rPr>
          <w:rFonts w:hint="eastAsia" w:ascii="宋体" w:hAnsi="宋体"/>
          <w:color w:val="000000" w:themeColor="text1"/>
          <w:szCs w:val="21"/>
        </w:rPr>
        <w:t>刚架桥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B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本题考查的是桥梁的主要类型。拱桥的承重结构以受压为主，通常用抗压能力强的圬工材料和钢筋混凝土等来建造。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本题考查的是城市桥梁结构组成与类型。本题与网校2015年基础班练习中心2K312000城市桥梁工程第5题考查点相同。此外，该知识点</w:t>
      </w:r>
      <w:r>
        <w:rPr>
          <w:rFonts w:hint="eastAsia" w:hAnsi="宋体" w:cs="宋体"/>
          <w:color w:val="000000" w:themeColor="text1"/>
          <w:szCs w:val="21"/>
        </w:rPr>
        <w:t>在网校基础班，习题班中均重点提及。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6.</w:t>
      </w:r>
      <w:r>
        <w:rPr>
          <w:rFonts w:hint="eastAsia" w:ascii="宋体" w:hAnsi="宋体"/>
          <w:color w:val="000000" w:themeColor="text1"/>
          <w:szCs w:val="21"/>
        </w:rPr>
        <w:t>采用锁口管接头的地下连续墙的施工工序包括：①开挖沟槽；②吊放×；③下导管；④吊放接头管；⑤拔出接头管；⑥灌注水下混凝土；⑦导墙施工。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正确的地下连续墙施工顺序是（　）。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A.</w:t>
      </w:r>
      <w:r>
        <w:rPr>
          <w:rFonts w:hint="eastAsia" w:ascii="宋体" w:hAnsi="宋体"/>
          <w:color w:val="000000" w:themeColor="text1"/>
          <w:szCs w:val="21"/>
        </w:rPr>
        <w:t>⑤→⑦→①→④→②→③→⑥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B.</w:t>
      </w:r>
      <w:r>
        <w:rPr>
          <w:rFonts w:hint="eastAsia" w:ascii="宋体" w:hAnsi="宋体"/>
          <w:color w:val="000000" w:themeColor="text1"/>
          <w:szCs w:val="21"/>
        </w:rPr>
        <w:t>①→⑦→④→②→③→⑤→⑥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C.</w:t>
      </w:r>
      <w:r>
        <w:rPr>
          <w:rFonts w:hint="eastAsia" w:ascii="宋体" w:hAnsi="宋体"/>
          <w:color w:val="000000" w:themeColor="text1"/>
          <w:szCs w:val="21"/>
        </w:rPr>
        <w:t>⑦→④→①→③→②→⑥→⑤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t>D.</w:t>
      </w:r>
      <w:r>
        <w:rPr>
          <w:rFonts w:hint="eastAsia" w:ascii="宋体" w:hAnsi="宋体"/>
          <w:color w:val="000000" w:themeColor="text1"/>
          <w:szCs w:val="21"/>
        </w:rPr>
        <w:t>⑦→①→④→②→③→⑥→⑤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D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本题考查的是深基坑支撑结构类型。地下连续墙施工顺序为：开挖导沟→修筑导墙→开挖沟槽→清除槽底淤泥和残渣→吊放接头管→吊放钢筋笼→下导管→灌注水下混凝土→拔出接头管。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本题考查的是深基坑支护结构与变形控制。该知识点</w:t>
      </w:r>
      <w:r>
        <w:rPr>
          <w:rFonts w:hint="eastAsia" w:hAnsi="宋体" w:cs="宋体"/>
          <w:color w:val="000000" w:themeColor="text1"/>
          <w:szCs w:val="21"/>
        </w:rPr>
        <w:t>在网校基础班，习题班中均重点提及。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/>
          <w:szCs w:val="21"/>
          <w:shd w:val="clear" w:color="auto" w:fill="FFFFFF"/>
        </w:rPr>
        <w:drawing>
          <wp:inline distT="0" distB="0" distL="0" distR="0">
            <wp:extent cx="5274310" cy="5255260"/>
            <wp:effectExtent l="19050" t="0" r="2540" b="0"/>
            <wp:docPr id="8" name="图片 8" descr="C:\Documents and Settings\cdel\桌面\市政\7-8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Documents and Settings\cdel\桌面\市政\7-8 拷贝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5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 w:themeColor="text1"/>
          <w:szCs w:val="21"/>
        </w:rPr>
        <w:t>9.关于小导管注浆加固技术的说法，错误的是（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A.小导管支护和超前加固必须配合钢拱架使用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B.小导管安装位置应正确并具备足够的长度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C.小导管采用直径70～180mm的无缝钢管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D.钢管沿隧道纵向的搭接长度一般不小于1m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C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本题考查的是小导管注浆加固技术。小导管常用设计参数：钢管直径30～50mm，钢管长3～5米，采用焊接钢管或无缝钢管。</w:t>
      </w:r>
    </w:p>
    <w:p>
      <w:pPr>
        <w:widowControl/>
        <w:shd w:val="clear" w:color="auto" w:fill="FFFFFF"/>
        <w:jc w:val="left"/>
        <w:rPr>
          <w:rFonts w:hint="eastAsia" w:hAnsi="宋体" w:cs="宋体"/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小导管注浆加固技术。本题与网校2015年基础班练习中心2K313000城市轨道交通工程第3、33、35题、习题班练习中心2K313000城市轨道交通工程第27、29题、典型例题（0301）第5题、2015年模拟试题三第9题考查点相同。此外，该知识点</w:t>
      </w:r>
      <w:r>
        <w:rPr>
          <w:rFonts w:hint="eastAsia" w:hAnsi="宋体" w:cs="宋体"/>
          <w:color w:val="000000" w:themeColor="text1"/>
          <w:szCs w:val="21"/>
        </w:rPr>
        <w:t>在网校基础班，习题班中均重点提及。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color w:val="000000" w:themeColor="text1"/>
          <w:szCs w:val="21"/>
        </w:rPr>
        <w:drawing>
          <wp:inline distT="0" distB="0" distL="0" distR="0">
            <wp:extent cx="5274310" cy="4619625"/>
            <wp:effectExtent l="19050" t="0" r="2540" b="0"/>
            <wp:docPr id="9" name="图片 9" descr="C:\Documents and Settings\cdel\桌面\市政\10-1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Documents and Settings\cdel\桌面\市政\10-11 拷贝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96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12.关于管道定位焊的说法，错误的是（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A.采用与根部焊道相同的焊接材料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B.采用与根部焊道相同的焊接工艺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C.在螺旋管焊缝的端部应进行定位焊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D.定位焊缝是正式焊缝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C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本题考查的是供热管道安装与焊接。在焊件纵向焊缝的端部（包括螺旋管焊缝）不得进行定位焊。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本题考查的是供热管道施工与安装要求。该知识点在网校基础班，习题班中均重点提及。</w:t>
      </w:r>
      <w:r>
        <w:rPr>
          <w:rFonts w:hint="eastAsia" w:ascii="宋体" w:hAnsi="宋体"/>
          <w:color w:val="000000" w:themeColor="text1"/>
          <w:szCs w:val="21"/>
        </w:rPr>
        <w:t>13.供热管道中，占据空间大的补偿器是（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A.球形补偿器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B.方形补偿器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C.套管补偿器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D.波纹管补偿器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B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本题考查的是供热管网附件及安装。方形补偿器的特点：加工简单，安装方便，安全可靠，价格低廉，但占空间大，局部阻力大。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供热管网附件及换热站设施安装要求。本题与网校2015年基础班练习中心2K315000城市管道工程第5、37以及多选第4、11题、习题班练习中心2K315000城市管道工程第27、多选14、22题、典型例题（0501）第7、多选10题考查点相同。此外，该知识点在网校基础班，习题班中均重点提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16.不属于混凝土结构水处理构筑物质量验收主控项目的是（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A.结构类型和结构尺寸符合设计要求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B.混凝土结构外观无严重质量缺陷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C.构筑物外壁不得渗水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D.结构表面应光滑平顺，线形流畅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D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本题考查的是水处理构筑物施工质量检查与验收。选项D属于工艺辅助构筑物的质量验收主控项目。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本题考查的是水处理构筑物施工质量检查与验收。该知识点在网校基础班，习题班及考前串讲班中均重点提及。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19.关于城镇供热直埋保温接头的说法，错误的是（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A.一级管网现场安装的85%的接头进行气密性检验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B.接头的保温和密封应在结构焊口检验合格后方可进行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C.预警线断路、短路检测应在接头安装完毕后进行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D.外观检查是质量验收的主控项目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A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本题考查的是直埋保温管接头的规定。一级管网现场安装的接头密封应进行100%的气密性检验。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本题考查的是直埋保温管接头的规定。此外，该知识点在网校基础班，习题班及考前串讲班中均重点提及。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drawing>
          <wp:inline distT="0" distB="0" distL="0" distR="0">
            <wp:extent cx="5274310" cy="5626735"/>
            <wp:effectExtent l="19050" t="0" r="2540" b="0"/>
            <wp:docPr id="10" name="图片 10" descr="C:\Documents and Settings\cdel\桌面\市政\20-21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Documents and Settings\cdel\桌面\市政\20-21 拷贝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627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 w:themeColor="text1"/>
          <w:szCs w:val="21"/>
        </w:rPr>
        <w:t>22.当地下连续墙作为主体地下结构外墙，且需要形成整体墙时，宜采用的接头形式有（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A.锁口管接头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B.波纹管接头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C.一字形钢板接头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D.十字形钢板接头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E.钢筋承插式接头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CDE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本题考查的是深基坑围护结构类型。当地下连续墙作为主体地下结构外墙，且需要形成整体墙时，宜采用刚性接头；刚性接头可采用一字形或十字形穿孔钢板接头、钢筋承插接头等。</w:t>
      </w:r>
    </w:p>
    <w:p>
      <w:pPr>
        <w:widowControl/>
        <w:shd w:val="clear" w:color="auto" w:fill="FFFFFF"/>
        <w:jc w:val="left"/>
        <w:rPr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本题考查的是深基坑支护结构域变形控制。该知识点在网校基础班，习题班中均重点提及。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drawing>
          <wp:inline distT="0" distB="0" distL="0" distR="0">
            <wp:extent cx="5274310" cy="5255260"/>
            <wp:effectExtent l="19050" t="0" r="2540" b="0"/>
            <wp:docPr id="11" name="图片 11" descr="C:\Documents and Settings\cdel\桌面\市政\23-24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Documents and Settings\cdel\桌面\市政\23-24 拷贝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55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 w:themeColor="text1"/>
          <w:szCs w:val="21"/>
        </w:rPr>
        <w:t>25.施工无抗浮结构设计的水池时，正确的降排水做法有（　）。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A.选择可靠的降低地下水位方法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B.基坑受承压水影响时，应进行承压水降压计算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C.施工过程中间断降排水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D.有备用降水机</w:t>
      </w:r>
      <w:r>
        <w:rPr>
          <w:rFonts w:hint="eastAsia" w:ascii="宋体" w:hAnsi="宋体"/>
          <w:color w:val="000000" w:themeColor="text1"/>
          <w:szCs w:val="21"/>
        </w:rPr>
        <w:br w:type="textWrapping"/>
      </w:r>
      <w:r>
        <w:rPr>
          <w:rFonts w:hint="eastAsia" w:ascii="宋体" w:hAnsi="宋体"/>
          <w:color w:val="000000" w:themeColor="text1"/>
          <w:szCs w:val="21"/>
        </w:rPr>
        <w:t>E.降排水应输送至抽水影响半径范围以外的河道或排水管道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ABDE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本题考查的是水池施工中的抗浮措施。施工过程不得中间断降排水。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</w:t>
      </w:r>
      <w:r>
        <w:rPr>
          <w:color w:val="0000FF"/>
          <w:szCs w:val="21"/>
        </w:rPr>
        <w:t>-</w:t>
      </w:r>
      <w:r>
        <w:rPr>
          <w:rFonts w:hint="eastAsia"/>
          <w:color w:val="0000FF"/>
          <w:szCs w:val="21"/>
        </w:rPr>
        <w:t>考后点评】</w:t>
      </w:r>
      <w:r>
        <w:rPr>
          <w:rFonts w:hint="eastAsia"/>
          <w:color w:val="000000" w:themeColor="text1"/>
          <w:szCs w:val="21"/>
        </w:rPr>
        <w:t>本题考查的是水池施工中的抗浮措施。本题与网校2015年习题班练习中心2K314000城镇水处理场站工程第33题考查点相同。此外，该知识点在网校基础班，习题班中均重点提及。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drawing>
          <wp:inline distT="0" distB="0" distL="0" distR="0">
            <wp:extent cx="5274310" cy="4920615"/>
            <wp:effectExtent l="19050" t="0" r="2540" b="0"/>
            <wp:docPr id="12" name="图片 12" descr="C:\Documents and Settings\cdel\桌面\市政\26-27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Documents and Settings\cdel\桌面\市政\26-27 拷贝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20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/>
          <w:color w:val="000000" w:themeColor="text1"/>
          <w:szCs w:val="21"/>
        </w:rPr>
        <w:t>28.关于城镇道路石灰工业废渣稳定砂砾基层施工的说法，正确的有（　）。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A.摊铺前含水量为最佳含水量±2%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B.控制虚铺厚度，确保基层厚度和高程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C.应在潮湿状态下养护，常温下养护时间不宜少于7d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D.采用喷洒沥青乳液养护时应及时在乳液面撒嵌丁料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000000" w:themeColor="text1"/>
          <w:szCs w:val="21"/>
        </w:rPr>
        <w:t>E.养护期内可开放交通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【标准答案-建设工程教育网】</w:t>
      </w:r>
      <w:r>
        <w:rPr>
          <w:rFonts w:hint="eastAsia" w:ascii="宋体" w:hAnsi="宋体"/>
          <w:color w:val="000000" w:themeColor="text1"/>
          <w:szCs w:val="21"/>
        </w:rPr>
        <w:t>ABCD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 w:ascii="宋体" w:hAnsi="宋体"/>
          <w:color w:val="FF0000"/>
          <w:szCs w:val="21"/>
        </w:rPr>
        <w:t>【建设工程教育网-名师解析】</w:t>
      </w:r>
      <w:r>
        <w:rPr>
          <w:rFonts w:hint="eastAsia" w:ascii="宋体" w:hAnsi="宋体"/>
          <w:color w:val="000000" w:themeColor="text1"/>
          <w:szCs w:val="21"/>
        </w:rPr>
        <w:t>本题考查的是无机结合料稳定基层施工质量检查与验收。养护期间宜封闭交通，需通行的机动车辆应限速，严禁履带车辆通行。</w:t>
      </w:r>
    </w:p>
    <w:p>
      <w:pPr>
        <w:widowControl/>
        <w:shd w:val="clear" w:color="auto" w:fill="FFFFFF"/>
        <w:jc w:val="left"/>
        <w:rPr>
          <w:rFonts w:ascii="宋体" w:hAnsi="宋体"/>
          <w:color w:val="000000" w:themeColor="text1"/>
          <w:szCs w:val="21"/>
        </w:rPr>
      </w:pPr>
      <w:r>
        <w:rPr>
          <w:rFonts w:hint="eastAsia"/>
          <w:color w:val="0000FF"/>
          <w:szCs w:val="21"/>
        </w:rPr>
        <w:t>【建设工程教育网-考后点评】</w:t>
      </w:r>
      <w:r>
        <w:rPr>
          <w:rFonts w:hint="eastAsia"/>
          <w:color w:val="000000" w:themeColor="text1"/>
          <w:szCs w:val="21"/>
        </w:rPr>
        <w:t>本题考查的是无机结合料稳定基层施工质量检查与验收。该知识点在网校基础班，习题班中均重点提及。</w:t>
      </w:r>
    </w:p>
    <w:p>
      <w:pPr>
        <w:rPr>
          <w:rFonts w:ascii="宋体" w:hAnsi="宋体"/>
          <w:color w:val="000000" w:themeColor="text1"/>
          <w:szCs w:val="21"/>
        </w:rPr>
      </w:pPr>
      <w:r>
        <w:rPr>
          <w:rFonts w:ascii="宋体" w:hAnsi="宋体"/>
          <w:color w:val="000000" w:themeColor="text1"/>
          <w:szCs w:val="21"/>
        </w:rPr>
        <w:drawing>
          <wp:inline distT="0" distB="0" distL="0" distR="0">
            <wp:extent cx="5274310" cy="5025390"/>
            <wp:effectExtent l="19050" t="0" r="2540" b="0"/>
            <wp:docPr id="5" name="图片 13" descr="C:\Documents and Settings\cdel\桌面\市政\29-30 拷贝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3" descr="C:\Documents and Settings\cdel\桌面\市政\29-30 拷贝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0257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5953125"/>
            <wp:effectExtent l="0" t="0" r="0" b="9525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5953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【问题】：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1.列式计算两水方沟东、西两端沟槽的开挖深度。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2.用背景资料中提供的序号表示本工程的总体施工程序。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3.针对事件1写出部分路基雨后土基压实的处理措施。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4.事件2中现场占用城市绿地存土方案为何被纠正？给出正确的做法。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3000375"/>
            <wp:effectExtent l="0" t="0" r="0" b="952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3000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---------------------------------------------------------------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7543800"/>
            <wp:effectExtent l="0" t="0" r="0" b="0"/>
            <wp:docPr id="4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【问题】：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1.施工方案（1）中，项目部宜选择哪种桩基施工机械？说明理由。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2.指出施工方案（2）中引道路堤填土施工组织存在的不妥之处，并改正。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3.结合图2-1，补充并改正施工方案（2）中施工工艺流程的缺漏和错误之处。（用文字叙述）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4.图2-2所示挡土墙属于哪种结构形式（类型）？写出图2-2中构造A的名称。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5.针对“行人滑入泥浆池”的安全事故，指出桩基施工现场应采取哪些安全措施。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24500" cy="1771650"/>
            <wp:effectExtent l="0" t="0" r="0" b="0"/>
            <wp:docPr id="3" name="图片 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14975" cy="5724525"/>
            <wp:effectExtent l="0" t="0" r="9525" b="9525"/>
            <wp:docPr id="6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5724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【问题】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"http://www.jianshe99.com/jianzao2/zhenti/"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15"/>
          <w:rFonts w:hint="eastAsia" w:ascii="宋体" w:hAnsi="宋体" w:eastAsia="宋体" w:cs="宋体"/>
          <w:b w:val="0"/>
          <w:i w:val="0"/>
          <w:caps w:val="0"/>
          <w:color w:val="FFFFFF"/>
          <w:spacing w:val="0"/>
          <w:sz w:val="21"/>
          <w:szCs w:val="21"/>
          <w:u w:val="none"/>
          <w:bdr w:val="none" w:color="auto" w:sz="0" w:space="0"/>
        </w:rPr>
        <w:t>二建试题答案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1.补充完善燃气管道施工组织设计内容。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2.项目部处理墓穴所增加的费用可否要求计量支付？说明理由。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3.简述燃气管道清扫的目的和清扫应注意的主要事项。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4.针对此次质量事故，简述项目部应采取的处理程序和加强哪些方面管理。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14975" cy="3124200"/>
            <wp:effectExtent l="0" t="0" r="9525" b="0"/>
            <wp:docPr id="13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6" descr="IMG_257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505450" cy="3105150"/>
            <wp:effectExtent l="0" t="0" r="0" b="0"/>
            <wp:docPr id="14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 descr="IMG_256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310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【问题】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instrText xml:space="preserve"> HYPERLINK "http://www.jianshe99.com/jianzao2/" \t "http://www.jianshe99.com/jianzao2/zhenti/_blank" </w:instrTex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separate"/>
      </w:r>
      <w:r>
        <w:rPr>
          <w:rStyle w:val="15"/>
          <w:rFonts w:hint="eastAsia" w:ascii="宋体" w:hAnsi="宋体" w:eastAsia="宋体" w:cs="宋体"/>
          <w:b w:val="0"/>
          <w:i w:val="0"/>
          <w:caps w:val="0"/>
          <w:color w:val="FFFFFF"/>
          <w:spacing w:val="0"/>
          <w:sz w:val="21"/>
          <w:szCs w:val="21"/>
          <w:u w:val="none"/>
          <w:bdr w:val="none" w:color="auto" w:sz="0" w:space="0"/>
        </w:rPr>
        <w:t>建设工程教育网发布权威二建真题解析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u w:val="none"/>
          <w:bdr w:val="none" w:color="auto" w:sz="0" w:space="0"/>
        </w:rPr>
        <w:fldChar w:fldCharType="end"/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1、项目部门口还应设置哪些标牌？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2、针对检查结果，简述对劳务人员管理的具体规定。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3、简述填埋场施工前场底基础层验收的有关规定，并给出验收记录签字后缺失的纠正措施。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t>　　4、指出黏土保护层压实度质量验收必须合格的原因，对不合格项应如何处理？</w:t>
      </w:r>
    </w:p>
    <w:p>
      <w:pPr>
        <w:pStyle w:val="11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5495925" cy="2533650"/>
            <wp:effectExtent l="0" t="0" r="9525" b="0"/>
            <wp:docPr id="15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 descr="IMG_257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1"/>
        <w:shd w:val="clear" w:color="auto" w:fill="FFFFFF"/>
        <w:spacing w:line="390" w:lineRule="atLeast"/>
        <w:rPr>
          <w:rFonts w:ascii="宋体" w:hAnsi="宋体"/>
          <w:color w:val="000000"/>
          <w:sz w:val="21"/>
          <w:szCs w:val="21"/>
          <w:shd w:val="clear" w:color="auto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宋体...销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735"/>
  <w:drawingGridVerticalSpacing w:val="78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6F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4EF0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36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4B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EBB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3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B1A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282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92F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8D3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D2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0DA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4E1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03F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C6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60B"/>
    <w:rsid w:val="0057195F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7DE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B0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3D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9F2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7B8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BB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DED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0F18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78D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A05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A7D1E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393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19"/>
    <w:rsid w:val="00862E8D"/>
    <w:rsid w:val="00862F53"/>
    <w:rsid w:val="008630BC"/>
    <w:rsid w:val="00863246"/>
    <w:rsid w:val="008632FD"/>
    <w:rsid w:val="0086339A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B43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0E01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0D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BB4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1D7B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4F72"/>
    <w:rsid w:val="009B53F2"/>
    <w:rsid w:val="009B53FF"/>
    <w:rsid w:val="009B593E"/>
    <w:rsid w:val="009B5A9E"/>
    <w:rsid w:val="009B5ADD"/>
    <w:rsid w:val="009B5BCF"/>
    <w:rsid w:val="009B5BE4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90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24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4FD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825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0C93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276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DB4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653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917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8D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99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BB1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D0F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4CA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D5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141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  <w:rsid w:val="4E437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nhideWhenUsed="0" w:uiPriority="0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nhideWhenUsed="0" w:uiPriority="99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3">
    <w:name w:val="heading 2"/>
    <w:basedOn w:val="1"/>
    <w:next w:val="1"/>
    <w:link w:val="1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19"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5">
    <w:name w:val="heading 4"/>
    <w:basedOn w:val="1"/>
    <w:next w:val="1"/>
    <w:link w:val="20"/>
    <w:qFormat/>
    <w:uiPriority w:val="0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13">
    <w:name w:val="Default Paragraph Font"/>
    <w:unhideWhenUsed/>
    <w:uiPriority w:val="1"/>
  </w:style>
  <w:style w:type="table" w:default="1" w:styleId="1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caption"/>
    <w:basedOn w:val="1"/>
    <w:next w:val="1"/>
    <w:qFormat/>
    <w:uiPriority w:val="0"/>
    <w:pPr>
      <w:spacing w:before="152" w:after="160"/>
    </w:pPr>
    <w:rPr>
      <w:rFonts w:ascii="Arial" w:hAnsi="Arial" w:eastAsia="黑体" w:cs="Arial"/>
      <w:sz w:val="20"/>
      <w:szCs w:val="20"/>
    </w:rPr>
  </w:style>
  <w:style w:type="paragraph" w:styleId="7">
    <w:name w:val="Plain Text"/>
    <w:basedOn w:val="1"/>
    <w:link w:val="27"/>
    <w:uiPriority w:val="99"/>
    <w:rPr>
      <w:rFonts w:ascii="宋体" w:hAnsi="Courier New" w:cs="Courier New"/>
      <w:szCs w:val="21"/>
    </w:rPr>
  </w:style>
  <w:style w:type="paragraph" w:styleId="8">
    <w:name w:val="Balloon Text"/>
    <w:basedOn w:val="1"/>
    <w:link w:val="26"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2">
    <w:name w:val="Title"/>
    <w:basedOn w:val="1"/>
    <w:link w:val="2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  <w:bCs/>
    </w:rPr>
  </w:style>
  <w:style w:type="character" w:styleId="15">
    <w:name w:val="Hyperlink"/>
    <w:basedOn w:val="13"/>
    <w:unhideWhenUsed/>
    <w:qFormat/>
    <w:uiPriority w:val="99"/>
    <w:rPr>
      <w:color w:val="0000FF" w:themeColor="hyperlink"/>
      <w:u w:val="single"/>
    </w:rPr>
  </w:style>
  <w:style w:type="character" w:customStyle="1" w:styleId="17">
    <w:name w:val="标题 1 Char"/>
    <w:basedOn w:val="13"/>
    <w:link w:val="2"/>
    <w:qFormat/>
    <w:uiPriority w:val="9"/>
    <w:rPr>
      <w:rFonts w:ascii="Cambria" w:hAnsi="Cambria" w:eastAsia="宋体" w:cs="Times New Roman"/>
      <w:b/>
      <w:bCs/>
      <w:color w:val="365F91"/>
      <w:kern w:val="0"/>
      <w:sz w:val="28"/>
      <w:szCs w:val="28"/>
    </w:rPr>
  </w:style>
  <w:style w:type="character" w:customStyle="1" w:styleId="18">
    <w:name w:val="标题 2 Char"/>
    <w:basedOn w:val="13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9">
    <w:name w:val="标题 3 Char"/>
    <w:basedOn w:val="13"/>
    <w:link w:val="4"/>
    <w:qFormat/>
    <w:uiPriority w:val="0"/>
    <w:rPr>
      <w:rFonts w:ascii="Times New Roman" w:hAnsi="Times New Roman"/>
      <w:b/>
      <w:bCs/>
      <w:kern w:val="2"/>
      <w:sz w:val="32"/>
      <w:szCs w:val="32"/>
    </w:rPr>
  </w:style>
  <w:style w:type="character" w:customStyle="1" w:styleId="20">
    <w:name w:val="标题 4 Char"/>
    <w:basedOn w:val="13"/>
    <w:link w:val="5"/>
    <w:qFormat/>
    <w:uiPriority w:val="0"/>
    <w:rPr>
      <w:rFonts w:ascii="Times New Roman" w:hAnsi="Times New Roman"/>
      <w:i/>
      <w:iCs/>
      <w:kern w:val="2"/>
      <w:sz w:val="18"/>
      <w:szCs w:val="18"/>
    </w:rPr>
  </w:style>
  <w:style w:type="character" w:customStyle="1" w:styleId="21">
    <w:name w:val="标题 Char"/>
    <w:basedOn w:val="13"/>
    <w:link w:val="12"/>
    <w:uiPriority w:val="0"/>
    <w:rPr>
      <w:rFonts w:ascii="Arial" w:hAnsi="Arial" w:cs="Arial"/>
      <w:b/>
      <w:bCs/>
      <w:kern w:val="2"/>
      <w:sz w:val="32"/>
      <w:szCs w:val="32"/>
    </w:rPr>
  </w:style>
  <w:style w:type="paragraph" w:customStyle="1" w:styleId="22">
    <w:name w:val="List Paragraph"/>
    <w:basedOn w:val="1"/>
    <w:qFormat/>
    <w:uiPriority w:val="0"/>
    <w:pPr>
      <w:ind w:firstLine="420" w:firstLineChars="200"/>
    </w:pPr>
  </w:style>
  <w:style w:type="character" w:customStyle="1" w:styleId="23">
    <w:name w:val="页眉 Char"/>
    <w:basedOn w:val="13"/>
    <w:link w:val="10"/>
    <w:semiHidden/>
    <w:uiPriority w:val="99"/>
    <w:rPr>
      <w:kern w:val="2"/>
      <w:sz w:val="18"/>
      <w:szCs w:val="18"/>
    </w:rPr>
  </w:style>
  <w:style w:type="character" w:customStyle="1" w:styleId="24">
    <w:name w:val="页脚 Char"/>
    <w:basedOn w:val="13"/>
    <w:link w:val="9"/>
    <w:semiHidden/>
    <w:uiPriority w:val="99"/>
    <w:rPr>
      <w:kern w:val="2"/>
      <w:sz w:val="18"/>
      <w:szCs w:val="18"/>
    </w:rPr>
  </w:style>
  <w:style w:type="paragraph" w:customStyle="1" w:styleId="2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...销." w:hAnsi="Times New Roman" w:eastAsia="宋体...销." w:cs="宋体...销."/>
      <w:color w:val="000000"/>
      <w:sz w:val="24"/>
      <w:szCs w:val="24"/>
      <w:lang w:val="en-US" w:eastAsia="zh-CN" w:bidi="ar-SA"/>
    </w:rPr>
  </w:style>
  <w:style w:type="character" w:customStyle="1" w:styleId="26">
    <w:name w:val="批注框文本 Char"/>
    <w:basedOn w:val="13"/>
    <w:link w:val="8"/>
    <w:semiHidden/>
    <w:qFormat/>
    <w:uiPriority w:val="99"/>
    <w:rPr>
      <w:kern w:val="2"/>
      <w:sz w:val="18"/>
      <w:szCs w:val="18"/>
    </w:rPr>
  </w:style>
  <w:style w:type="character" w:customStyle="1" w:styleId="27">
    <w:name w:val="纯文本 Char"/>
    <w:basedOn w:val="13"/>
    <w:link w:val="7"/>
    <w:qFormat/>
    <w:uiPriority w:val="99"/>
    <w:rPr>
      <w:rFonts w:ascii="宋体" w:hAnsi="Courier New" w:cs="Courier New"/>
      <w:kern w:val="2"/>
      <w:sz w:val="21"/>
      <w:szCs w:val="21"/>
    </w:rPr>
  </w:style>
  <w:style w:type="paragraph" w:customStyle="1" w:styleId="28">
    <w:name w:val="msonormal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29">
    <w:name w:val="msoplaintex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0">
    <w:name w:val="apple-converted-space"/>
    <w:basedOn w:val="1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417</Words>
  <Characters>2382</Characters>
  <Lines>19</Lines>
  <Paragraphs>5</Paragraphs>
  <TotalTime>0</TotalTime>
  <ScaleCrop>false</ScaleCrop>
  <LinksUpToDate>false</LinksUpToDate>
  <CharactersWithSpaces>2794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2014-04-08T09:12:00Z</dcterms:created>
  <dc:creator>CDEL</dc:creator>
  <cp:lastModifiedBy>DELL</cp:lastModifiedBy>
  <dcterms:modified xsi:type="dcterms:W3CDTF">2017-08-11T03:27:41Z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