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ascii="黑体" w:hAnsi="黑体" w:eastAsia="黑体" w:cs="黑体"/>
          <w:sz w:val="32"/>
          <w:szCs w:val="40"/>
          <w:lang w:val="en-US" w:eastAsia="zh-CN"/>
        </w:rPr>
      </w:pPr>
      <w:r>
        <w:rPr>
          <w:rFonts w:hint="eastAsia" w:ascii="黑体" w:hAnsi="黑体" w:eastAsia="黑体" w:cs="黑体"/>
          <w:sz w:val="32"/>
          <w:szCs w:val="40"/>
          <w:lang w:eastAsia="zh-CN"/>
        </w:rPr>
        <w:t>附件</w:t>
      </w:r>
      <w:r>
        <w:rPr>
          <w:rFonts w:hint="eastAsia" w:ascii="黑体" w:hAnsi="黑体" w:eastAsia="黑体" w:cs="黑体"/>
          <w:sz w:val="32"/>
          <w:szCs w:val="40"/>
          <w:lang w:val="en-US" w:eastAsia="zh-CN"/>
        </w:rPr>
        <w:t>4</w:t>
      </w:r>
      <w:bookmarkStart w:id="0" w:name="_GoBack"/>
      <w:bookmarkEnd w:id="0"/>
    </w:p>
    <w:p>
      <w:pPr>
        <w:pStyle w:val="2"/>
        <w:ind w:left="0" w:leftChars="0" w:firstLine="0" w:firstLineChars="0"/>
        <w:jc w:val="center"/>
        <w:rPr>
          <w:rFonts w:hint="default" w:ascii="Times New Roman" w:hAnsi="Times New Roman" w:eastAsia="仿宋_GB2312" w:cs="Times New Roman"/>
          <w:color w:val="000000"/>
          <w:sz w:val="32"/>
          <w:szCs w:val="32"/>
          <w:shd w:val="clear" w:color="auto" w:fill="FFFFFF"/>
          <w:lang w:eastAsia="zh-CN"/>
        </w:rPr>
      </w:pPr>
      <w:r>
        <w:rPr>
          <w:rFonts w:hint="default" w:ascii="Times New Roman" w:hAnsi="Times New Roman" w:eastAsia="方正小标宋简体" w:cs="Times New Roman"/>
          <w:sz w:val="44"/>
          <w:szCs w:val="44"/>
          <w:lang w:val="en-US" w:eastAsia="zh-CN"/>
        </w:rPr>
        <w:t>国家职业资格与我省职称</w:t>
      </w:r>
      <w:r>
        <w:rPr>
          <w:rFonts w:hint="eastAsia" w:ascii="Times New Roman" w:hAnsi="Times New Roman" w:eastAsia="方正小标宋简体" w:cs="Times New Roman"/>
          <w:sz w:val="44"/>
          <w:szCs w:val="44"/>
          <w:lang w:val="en-US" w:eastAsia="zh-CN"/>
        </w:rPr>
        <w:t>的</w:t>
      </w:r>
      <w:r>
        <w:rPr>
          <w:rFonts w:hint="default" w:ascii="Times New Roman" w:hAnsi="Times New Roman" w:eastAsia="方正小标宋简体" w:cs="Times New Roman"/>
          <w:sz w:val="44"/>
          <w:szCs w:val="44"/>
          <w:lang w:val="en-US" w:eastAsia="zh-CN"/>
        </w:rPr>
        <w:t>对应</w:t>
      </w:r>
      <w:r>
        <w:rPr>
          <w:rFonts w:hint="eastAsia" w:ascii="Times New Roman" w:hAnsi="Times New Roman" w:eastAsia="方正小标宋简体" w:cs="Times New Roman"/>
          <w:sz w:val="44"/>
          <w:szCs w:val="44"/>
          <w:lang w:val="en-US" w:eastAsia="zh-CN"/>
        </w:rPr>
        <w:t>关系</w:t>
      </w:r>
    </w:p>
    <w:p>
      <w:pPr>
        <w:pStyle w:val="2"/>
        <w:keepNext w:val="0"/>
        <w:keepLines w:val="0"/>
        <w:pageBreakBefore w:val="0"/>
        <w:widowControl w:val="0"/>
        <w:kinsoku/>
        <w:wordWrap/>
        <w:overflowPunct w:val="0"/>
        <w:topLinePunct w:val="0"/>
        <w:autoSpaceDE/>
        <w:autoSpaceDN/>
        <w:bidi w:val="0"/>
        <w:adjustRightInd/>
        <w:snapToGrid/>
        <w:spacing w:line="600" w:lineRule="exact"/>
        <w:textAlignment w:val="auto"/>
        <w:rPr>
          <w:rFonts w:hint="eastAsia" w:ascii="仿宋_GB2312" w:hAnsi="仿宋_GB2312" w:eastAsia="仿宋_GB2312" w:cs="仿宋_GB2312"/>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lang w:eastAsia="zh-CN"/>
        </w:rPr>
        <w:t>根据《关于公布国家职业资格目录的通知》（人社部发〔2017〕68 号）、《国家职业资格目录（2021 版）》、各系列职称评价标准条件以及国家各项专业技术人员职业资格制度规定，对应关系如下：</w:t>
      </w:r>
    </w:p>
    <w:p>
      <w:pPr>
        <w:pStyle w:val="2"/>
        <w:keepNext w:val="0"/>
        <w:keepLines w:val="0"/>
        <w:pageBreakBefore w:val="0"/>
        <w:widowControl w:val="0"/>
        <w:kinsoku/>
        <w:wordWrap/>
        <w:overflowPunct w:val="0"/>
        <w:topLinePunct w:val="0"/>
        <w:autoSpaceDE/>
        <w:autoSpaceDN/>
        <w:bidi w:val="0"/>
        <w:adjustRightInd/>
        <w:snapToGrid/>
        <w:spacing w:line="600" w:lineRule="exact"/>
        <w:textAlignment w:val="auto"/>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注册消防工程师、注册建筑师、造价工程师、建造师、注册结构工程师、注册计量师、注册安全工程师、通信专业技术人员资格、机动车检测维修专业技术人员职业资格、公路水运工程试验检测专业技术人员职业资格、质量专业技术人员职业资格，以上各项专业技术人员职业资格，其初级（二级）、中级（一级）资格分别对应我省工程技术人才系列的助理工程师、工程师职称。</w:t>
      </w:r>
    </w:p>
    <w:p>
      <w:pPr>
        <w:pStyle w:val="2"/>
        <w:keepNext w:val="0"/>
        <w:keepLines w:val="0"/>
        <w:pageBreakBefore w:val="0"/>
        <w:widowControl w:val="0"/>
        <w:kinsoku/>
        <w:wordWrap/>
        <w:overflowPunct w:val="0"/>
        <w:topLinePunct w:val="0"/>
        <w:autoSpaceDE/>
        <w:autoSpaceDN/>
        <w:bidi w:val="0"/>
        <w:adjustRightInd/>
        <w:snapToGrid/>
        <w:spacing w:line="600" w:lineRule="exact"/>
        <w:textAlignment w:val="auto"/>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民用核安全设备无损检验人员资格、民用核设施操纵人员资格、注册核安全工程师、监理工程师、注册城乡规划师（注册城市规划师）、勘察设计注册工程师（注册结构工程师除外）、注册设备监理师、注册测绘师、工程咨询（投资）专业技术人员职业资格、环境影响评价工程师，以上各项未分级的专业技术人员职业资格对应我省工程技术人才系列的工程师职称。</w:t>
      </w:r>
    </w:p>
    <w:p>
      <w:pPr>
        <w:pStyle w:val="2"/>
        <w:keepNext w:val="0"/>
        <w:keepLines w:val="0"/>
        <w:pageBreakBefore w:val="0"/>
        <w:widowControl w:val="0"/>
        <w:kinsoku/>
        <w:wordWrap/>
        <w:overflowPunct w:val="0"/>
        <w:topLinePunct w:val="0"/>
        <w:autoSpaceDE/>
        <w:autoSpaceDN/>
        <w:bidi w:val="0"/>
        <w:adjustRightInd/>
        <w:snapToGrid/>
        <w:spacing w:line="600" w:lineRule="exact"/>
        <w:textAlignment w:val="auto"/>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通过全国计算机技术与软件专业技术资格（水平）考试取得初级资格、中级资格、高级资格，且符合《人力资源社会保障部工业和信息化部关于深化工程技术人才职称制度改革的指导意见》（人社部发〔2019〕16 号）关于助理工程师、工程师、高级工程师学历资历条件的，可分别对应我省工程技术人才系列的助理工程师、工程师和高级工程师。例如，取得系统架构设计师资格，具备本科学历或学士学位的从事工程技术工作满10年可对应高级工程师职称，具备硕士学位的从事工程技术工作满7年可对应高级工程师职称。</w:t>
      </w:r>
    </w:p>
    <w:sectPr>
      <w:footerReference r:id="rId3" w:type="default"/>
      <w:pgSz w:w="11906" w:h="16838"/>
      <w:pgMar w:top="1417" w:right="1644" w:bottom="147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MingLiU_HKSCS">
    <w:altName w:val="文泉驿微米黑"/>
    <w:panose1 w:val="02020500000000000000"/>
    <w:charset w:val="88"/>
    <w:family w:val="roman"/>
    <w:pitch w:val="default"/>
    <w:sig w:usb0="00000000" w:usb1="00000000"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_GB2312"/>
                              <w:lang w:eastAsia="zh-CN"/>
                            </w:rPr>
                          </w:pPr>
                          <w:r>
                            <w:rPr>
                              <w:rFonts w:hint="eastAsia" w:ascii="仿宋_GB2312" w:hAnsi="仿宋_GB2312" w:eastAsia="仿宋_GB2312" w:cs="仿宋_GB2312"/>
                              <w:sz w:val="28"/>
                              <w:szCs w:val="52"/>
                              <w:lang w:eastAsia="zh-CN"/>
                            </w:rPr>
                            <w:fldChar w:fldCharType="begin"/>
                          </w:r>
                          <w:r>
                            <w:rPr>
                              <w:rFonts w:hint="eastAsia" w:ascii="仿宋_GB2312" w:hAnsi="仿宋_GB2312" w:eastAsia="仿宋_GB2312" w:cs="仿宋_GB2312"/>
                              <w:sz w:val="28"/>
                              <w:szCs w:val="52"/>
                              <w:lang w:eastAsia="zh-CN"/>
                            </w:rPr>
                            <w:instrText xml:space="preserve"> PAGE  \* MERGEFORMAT </w:instrText>
                          </w:r>
                          <w:r>
                            <w:rPr>
                              <w:rFonts w:hint="eastAsia" w:ascii="仿宋_GB2312" w:hAnsi="仿宋_GB2312" w:eastAsia="仿宋_GB2312" w:cs="仿宋_GB2312"/>
                              <w:sz w:val="28"/>
                              <w:szCs w:val="52"/>
                              <w:lang w:eastAsia="zh-CN"/>
                            </w:rPr>
                            <w:fldChar w:fldCharType="separate"/>
                          </w:r>
                          <w:r>
                            <w:rPr>
                              <w:rFonts w:hint="eastAsia" w:ascii="仿宋_GB2312" w:hAnsi="仿宋_GB2312" w:eastAsia="仿宋_GB2312" w:cs="仿宋_GB2312"/>
                              <w:sz w:val="28"/>
                              <w:szCs w:val="52"/>
                              <w:lang w:eastAsia="zh-CN"/>
                            </w:rPr>
                            <w:t>1</w:t>
                          </w:r>
                          <w:r>
                            <w:rPr>
                              <w:rFonts w:hint="eastAsia" w:ascii="仿宋_GB2312" w:hAnsi="仿宋_GB2312" w:eastAsia="仿宋_GB2312" w:cs="仿宋_GB2312"/>
                              <w:sz w:val="28"/>
                              <w:szCs w:val="52"/>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rPr>
                        <w:rFonts w:hint="eastAsia" w:eastAsia="仿宋_GB2312"/>
                        <w:lang w:eastAsia="zh-CN"/>
                      </w:rPr>
                    </w:pPr>
                    <w:r>
                      <w:rPr>
                        <w:rFonts w:hint="eastAsia" w:ascii="仿宋_GB2312" w:hAnsi="仿宋_GB2312" w:eastAsia="仿宋_GB2312" w:cs="仿宋_GB2312"/>
                        <w:sz w:val="28"/>
                        <w:szCs w:val="52"/>
                        <w:lang w:eastAsia="zh-CN"/>
                      </w:rPr>
                      <w:fldChar w:fldCharType="begin"/>
                    </w:r>
                    <w:r>
                      <w:rPr>
                        <w:rFonts w:hint="eastAsia" w:ascii="仿宋_GB2312" w:hAnsi="仿宋_GB2312" w:eastAsia="仿宋_GB2312" w:cs="仿宋_GB2312"/>
                        <w:sz w:val="28"/>
                        <w:szCs w:val="52"/>
                        <w:lang w:eastAsia="zh-CN"/>
                      </w:rPr>
                      <w:instrText xml:space="preserve"> PAGE  \* MERGEFORMAT </w:instrText>
                    </w:r>
                    <w:r>
                      <w:rPr>
                        <w:rFonts w:hint="eastAsia" w:ascii="仿宋_GB2312" w:hAnsi="仿宋_GB2312" w:eastAsia="仿宋_GB2312" w:cs="仿宋_GB2312"/>
                        <w:sz w:val="28"/>
                        <w:szCs w:val="52"/>
                        <w:lang w:eastAsia="zh-CN"/>
                      </w:rPr>
                      <w:fldChar w:fldCharType="separate"/>
                    </w:r>
                    <w:r>
                      <w:rPr>
                        <w:rFonts w:hint="eastAsia" w:ascii="仿宋_GB2312" w:hAnsi="仿宋_GB2312" w:eastAsia="仿宋_GB2312" w:cs="仿宋_GB2312"/>
                        <w:sz w:val="28"/>
                        <w:szCs w:val="52"/>
                        <w:lang w:eastAsia="zh-CN"/>
                      </w:rPr>
                      <w:t>1</w:t>
                    </w:r>
                    <w:r>
                      <w:rPr>
                        <w:rFonts w:hint="eastAsia" w:ascii="仿宋_GB2312" w:hAnsi="仿宋_GB2312" w:eastAsia="仿宋_GB2312" w:cs="仿宋_GB2312"/>
                        <w:sz w:val="28"/>
                        <w:szCs w:val="52"/>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iNGFjMTZkNjg4YTJhMzE2NGVlNjVkNWE5ODM1YTcifQ=="/>
  </w:docVars>
  <w:rsids>
    <w:rsidRoot w:val="61AE759F"/>
    <w:rsid w:val="0D4C36CC"/>
    <w:rsid w:val="11056CF1"/>
    <w:rsid w:val="1160219A"/>
    <w:rsid w:val="207C351B"/>
    <w:rsid w:val="2E9F1713"/>
    <w:rsid w:val="2FD53CBB"/>
    <w:rsid w:val="4D066BB2"/>
    <w:rsid w:val="61AE759F"/>
    <w:rsid w:val="6F2348FA"/>
    <w:rsid w:val="6FDF279D"/>
    <w:rsid w:val="73825469"/>
    <w:rsid w:val="75C565F4"/>
    <w:rsid w:val="7CA619C2"/>
    <w:rsid w:val="7F2DA313"/>
    <w:rsid w:val="BB3F1FC3"/>
    <w:rsid w:val="BB4EFEEB"/>
    <w:rsid w:val="CF7AF7D7"/>
    <w:rsid w:val="DFFDC2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MingLiU_HKSCS" w:hAnsi="MingLiU_HKSCS" w:eastAsia="MingLiU_HKSCS" w:cs="MingLiU_HKSCS"/>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MingLiU_HKSCS" w:hAnsi="MingLiU_HKSCS" w:eastAsia="仿宋_GB2312" w:cs="MingLiU_HKSCS"/>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pPr>
    <w:rPr>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721</Words>
  <Characters>737</Characters>
  <Lines>0</Lines>
  <Paragraphs>0</Paragraphs>
  <TotalTime>32</TotalTime>
  <ScaleCrop>false</ScaleCrop>
  <LinksUpToDate>false</LinksUpToDate>
  <CharactersWithSpaces>738</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2020-08-04T19:46:00Z</dcterms:created>
  <dc:creator>hwq</dc:creator>
  <cp:lastModifiedBy>黄炜琼</cp:lastModifiedBy>
  <cp:lastPrinted>2023-10-26T09:55:00Z</cp:lastPrinted>
  <dcterms:modified xsi:type="dcterms:W3CDTF">2025-02-18T17:43:36Z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ribbonExt">
    <vt:lpwstr>{"WPSExtOfficeTab":{"OnGetEnabled":false,"OnGetVisible":false}}</vt:lpwstr>
  </property>
  <property fmtid="{D5CDD505-2E9C-101B-9397-08002B2CF9AE}" pid="4" name="ICV">
    <vt:lpwstr>E4D89A76ED644BFF8C71CBC3AFC9BD4F</vt:lpwstr>
  </property>
</Properties>
</file>